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Playbook Confirmation Worksheet</w:t>
      </w:r>
    </w:p>
    <w:p>
      <w:pPr>
        <w:pStyle w:val="Caption"/>
      </w:pPr>
      <w:r>
        <w:t>Qanooni Team · Optional review record</w:t>
      </w:r>
    </w:p>
    <w:p>
      <w:r>
        <w:t>Qanooni creates the playbook by analysing historic contracts you consider your gold standard. Use this optional sheet to record your checks on an extracted stance. It is not required for setup and is not a Qanooni import format.</w:t>
      </w:r>
    </w:p>
    <w:p>
      <w:r>
        <w:t>Agreement type: ____________________   Client or group: ____________________</w:t>
      </w:r>
    </w:p>
    <w:p>
      <w:r>
        <w:t>Negotiating side: ___________________   Governing law: _____________________</w:t>
      </w:r>
    </w:p>
    <w:p>
      <w:r>
        <w:t>Reviewer: _________________________   Date: _____________________________</w:t>
      </w:r>
    </w:p>
    <w:tbl>
      <w:tblPr>
        <w:tblW w:type="auto" w:w="0"/>
        <w:jc w:val="center"/>
        <w:tblLayout w:type="fixed"/>
        <w:tblLook w:firstColumn="1" w:firstRow="1" w:lastColumn="0" w:lastRow="0" w:noHBand="0" w:noVBand="1" w:val="04A0"/>
      </w:tblPr>
      <w:tblGrid>
        <w:gridCol w:w="2304"/>
        <w:gridCol w:w="7920"/>
      </w:tblGrid>
      <w:tr>
        <w:trPr>
          <w:cantSplit/>
          <w:tblHeader/>
        </w:trPr>
        <w:tc>
          <w:tcPr>
            <w:tcW w:type="dxa" w:w="2304"/>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183B60"/>
          </w:tcPr>
          <w:p>
            <w:pPr>
              <w:spacing w:after="40" w:before="40" w:line="252" w:lineRule="auto"/>
            </w:pPr>
            <w:r>
              <w:rPr>
                <w:b/>
                <w:color w:val="FFFFFF"/>
                <w:sz w:val="20"/>
              </w:rPr>
              <w:t>Check</w:t>
            </w:r>
          </w:p>
        </w:tc>
        <w:tc>
          <w:tcPr>
            <w:tcW w:type="dxa" w:w="7920"/>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183B60"/>
          </w:tcPr>
          <w:p>
            <w:pPr>
              <w:spacing w:after="40" w:before="40" w:line="252" w:lineRule="auto"/>
            </w:pPr>
            <w:r>
              <w:rPr>
                <w:b/>
                <w:color w:val="FFFFFF"/>
                <w:sz w:val="20"/>
              </w:rPr>
              <w:t>Your record</w:t>
            </w:r>
          </w:p>
        </w:tc>
      </w:tr>
      <w:tr>
        <w:trPr>
          <w:cantSplit/>
        </w:trPr>
        <w:tc>
          <w:tcPr>
            <w:tcW w:type="dxa" w:w="2304"/>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2F5F9"/>
          </w:tcPr>
          <w:p>
            <w:pPr>
              <w:spacing w:after="40" w:before="40" w:line="252" w:lineRule="auto"/>
            </w:pPr>
            <w:r>
              <w:rPr>
                <w:sz w:val="20"/>
              </w:rPr>
              <w:t>Source agreements</w:t>
            </w:r>
          </w:p>
        </w:tc>
        <w:tc>
          <w:tcPr>
            <w:tcW w:type="dxa" w:w="7920"/>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2F5F9"/>
          </w:tcPr>
          <w:p>
            <w:pPr>
              <w:spacing w:after="40" w:before="40" w:line="252" w:lineRule="auto"/>
            </w:pPr>
            <w:r>
              <w:rPr>
                <w:sz w:val="20"/>
              </w:rPr>
              <w:t>[Identify the selected gold standard contracts and the relevant clauses.]</w:t>
            </w:r>
          </w:p>
        </w:tc>
      </w:tr>
      <w:tr>
        <w:trPr>
          <w:cantSplit/>
        </w:trPr>
        <w:tc>
          <w:tcPr>
            <w:tcW w:type="dxa" w:w="2304"/>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FFFFF"/>
          </w:tcPr>
          <w:p>
            <w:pPr>
              <w:spacing w:after="40" w:before="40" w:line="252" w:lineRule="auto"/>
            </w:pPr>
            <w:r>
              <w:rPr>
                <w:sz w:val="20"/>
              </w:rPr>
              <w:t>Clause or topic</w:t>
            </w:r>
          </w:p>
        </w:tc>
        <w:tc>
          <w:tcPr>
            <w:tcW w:type="dxa" w:w="7920"/>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FFFFF"/>
          </w:tcPr>
          <w:p>
            <w:pPr>
              <w:spacing w:after="40" w:before="40" w:line="252" w:lineRule="auto"/>
            </w:pPr>
            <w:r>
              <w:rPr>
                <w:sz w:val="20"/>
              </w:rPr>
              <w:t>[Name the issue you are checking.]</w:t>
            </w:r>
          </w:p>
        </w:tc>
      </w:tr>
      <w:tr>
        <w:trPr>
          <w:cantSplit/>
        </w:trPr>
        <w:tc>
          <w:tcPr>
            <w:tcW w:type="dxa" w:w="2304"/>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2F5F9"/>
          </w:tcPr>
          <w:p>
            <w:pPr>
              <w:spacing w:after="40" w:before="40" w:line="252" w:lineRule="auto"/>
            </w:pPr>
            <w:r>
              <w:rPr>
                <w:sz w:val="20"/>
              </w:rPr>
              <w:t>Extracted stance</w:t>
            </w:r>
          </w:p>
        </w:tc>
        <w:tc>
          <w:tcPr>
            <w:tcW w:type="dxa" w:w="7920"/>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2F5F9"/>
          </w:tcPr>
          <w:p>
            <w:pPr>
              <w:spacing w:after="40" w:before="40" w:line="252" w:lineRule="auto"/>
            </w:pPr>
            <w:r>
              <w:rPr>
                <w:sz w:val="20"/>
              </w:rPr>
              <w:t>[Record the position Qanooni has derived.]</w:t>
            </w:r>
          </w:p>
        </w:tc>
      </w:tr>
      <w:tr>
        <w:trPr>
          <w:cantSplit/>
        </w:trPr>
        <w:tc>
          <w:tcPr>
            <w:tcW w:type="dxa" w:w="2304"/>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FFFFF"/>
          </w:tcPr>
          <w:p>
            <w:pPr>
              <w:spacing w:after="40" w:before="40" w:line="252" w:lineRule="auto"/>
            </w:pPr>
            <w:r>
              <w:rPr>
                <w:sz w:val="20"/>
              </w:rPr>
              <w:t>Matches the intended standard</w:t>
            </w:r>
          </w:p>
        </w:tc>
        <w:tc>
          <w:tcPr>
            <w:tcW w:type="dxa" w:w="7920"/>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FFFFF"/>
          </w:tcPr>
          <w:p>
            <w:pPr>
              <w:spacing w:after="40" w:before="40" w:line="252" w:lineRule="auto"/>
            </w:pPr>
            <w:r>
              <w:rPr>
                <w:sz w:val="20"/>
              </w:rPr>
              <w:t>[Does this reflect the position you want to reuse? Record any difference or follow-up.]</w:t>
            </w:r>
          </w:p>
        </w:tc>
      </w:tr>
      <w:tr>
        <w:trPr>
          <w:cantSplit/>
        </w:trPr>
        <w:tc>
          <w:tcPr>
            <w:tcW w:type="dxa" w:w="2304"/>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2F5F9"/>
          </w:tcPr>
          <w:p>
            <w:pPr>
              <w:spacing w:after="40" w:before="40" w:line="252" w:lineRule="auto"/>
            </w:pPr>
            <w:r>
              <w:rPr>
                <w:sz w:val="20"/>
              </w:rPr>
              <w:t>Client context and exceptions</w:t>
            </w:r>
          </w:p>
        </w:tc>
        <w:tc>
          <w:tcPr>
            <w:tcW w:type="dxa" w:w="7920"/>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2F5F9"/>
          </w:tcPr>
          <w:p>
            <w:pPr>
              <w:spacing w:after="40" w:before="40" w:line="252" w:lineRule="auto"/>
            </w:pPr>
            <w:r>
              <w:rPr>
                <w:sz w:val="20"/>
              </w:rPr>
              <w:t>[Identify any concession, client instruction or jurisdiction issue affecting this position.]</w:t>
            </w:r>
          </w:p>
        </w:tc>
      </w:tr>
      <w:tr>
        <w:trPr>
          <w:cantSplit/>
        </w:trPr>
        <w:tc>
          <w:tcPr>
            <w:tcW w:type="dxa" w:w="2304"/>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FFFFF"/>
          </w:tcPr>
          <w:p>
            <w:pPr>
              <w:spacing w:after="40" w:before="40" w:line="252" w:lineRule="auto"/>
            </w:pPr>
            <w:r>
              <w:rPr>
                <w:sz w:val="20"/>
              </w:rPr>
              <w:t>Completeness</w:t>
            </w:r>
          </w:p>
        </w:tc>
        <w:tc>
          <w:tcPr>
            <w:tcW w:type="dxa" w:w="7920"/>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FFFFF"/>
          </w:tcPr>
          <w:p>
            <w:pPr>
              <w:spacing w:after="40" w:before="40" w:line="252" w:lineRule="auto"/>
            </w:pPr>
            <w:r>
              <w:rPr>
                <w:sz w:val="20"/>
              </w:rPr>
              <w:t>[Check required provisions and material issues, including those absent from the source set.]</w:t>
            </w:r>
          </w:p>
        </w:tc>
      </w:tr>
      <w:tr>
        <w:trPr>
          <w:cantSplit/>
        </w:trPr>
        <w:tc>
          <w:tcPr>
            <w:tcW w:type="dxa" w:w="2304"/>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2F5F9"/>
          </w:tcPr>
          <w:p>
            <w:pPr>
              <w:spacing w:after="40" w:before="40" w:line="252" w:lineRule="auto"/>
            </w:pPr>
            <w:r>
              <w:rPr>
                <w:sz w:val="20"/>
              </w:rPr>
              <w:t>Confirmation and follow-up</w:t>
            </w:r>
          </w:p>
        </w:tc>
        <w:tc>
          <w:tcPr>
            <w:tcW w:type="dxa" w:w="7920"/>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2F5F9"/>
          </w:tcPr>
          <w:p>
            <w:pPr>
              <w:spacing w:after="40" w:before="40" w:line="252" w:lineRule="auto"/>
            </w:pPr>
            <w:r>
              <w:rPr>
                <w:sz w:val="20"/>
              </w:rPr>
              <w:t>[Record the position confirmed and any question still to resolve.]</w:t>
            </w:r>
          </w:p>
        </w:tc>
      </w:tr>
      <w:tr>
        <w:trPr>
          <w:cantSplit/>
        </w:trPr>
        <w:tc>
          <w:tcPr>
            <w:tcW w:type="dxa" w:w="2304"/>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FFFFF"/>
          </w:tcPr>
          <w:p>
            <w:pPr>
              <w:spacing w:after="40" w:before="40" w:line="252" w:lineRule="auto"/>
            </w:pPr>
            <w:r>
              <w:rPr>
                <w:sz w:val="20"/>
              </w:rPr>
              <w:t>Check on another agreement</w:t>
            </w:r>
          </w:p>
        </w:tc>
        <w:tc>
          <w:tcPr>
            <w:tcW w:type="dxa" w:w="7920"/>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FFFFF"/>
          </w:tcPr>
          <w:p>
            <w:pPr>
              <w:spacing w:after="40" w:before="40" w:line="252" w:lineRule="auto"/>
            </w:pPr>
            <w:r>
              <w:rPr>
                <w:sz w:val="20"/>
              </w:rPr>
              <w:t>[Record how an acceptable clause, a departure and a missing provision were treated.]</w:t>
            </w:r>
          </w:p>
        </w:tc>
      </w:tr>
    </w:tbl>
    <w:p>
      <w:pPr>
        <w:spacing w:after="20"/>
      </w:pPr>
    </w:p>
    <w:p>
      <w:r/>
      <w:hyperlink r:id="rId9">
        <w:r>
          <w:rPr>
            <w:color w:val="1764B0"/>
            <w:u w:val="single"/>
          </w:rPr>
          <w:t>See Qanooni playbook review in Word</w:t>
        </w:r>
      </w:hyperlink>
      <w:r>
        <w:t>.</w:t>
      </w:r>
    </w:p>
    <w:p>
      <w:r>
        <w:br w:type="page"/>
      </w:r>
    </w:p>
    <w:p>
      <w:pPr>
        <w:pStyle w:val="Title"/>
      </w:pPr>
      <w:r>
        <w:t>Worked Fees Stance Example</w:t>
      </w:r>
    </w:p>
    <w:p>
      <w:pPr>
        <w:pStyle w:val="Caption"/>
      </w:pPr>
      <w:r>
        <w:t>Qanooni Team · Fictional illustration</w:t>
      </w:r>
    </w:p>
    <w:p>
      <w:r>
        <w:t>This example illustrates a confirmation check for a customer-side SaaS services agreement. It uses the fictional Kettlefield and Norwood matter under Delaware law. The entries are explanatory examples, not a recorded AI extraction or legal defaults.</w:t>
      </w:r>
    </w:p>
    <w:tbl>
      <w:tblPr>
        <w:tblW w:type="auto" w:w="0"/>
        <w:jc w:val="center"/>
        <w:tblLayout w:type="fixed"/>
        <w:tblLook w:firstColumn="1" w:firstRow="1" w:lastColumn="0" w:lastRow="0" w:noHBand="0" w:noVBand="1" w:val="04A0"/>
      </w:tblPr>
      <w:tblGrid>
        <w:gridCol w:w="2304"/>
        <w:gridCol w:w="7920"/>
      </w:tblGrid>
      <w:tr>
        <w:trPr>
          <w:cantSplit/>
          <w:tblHeader/>
        </w:trPr>
        <w:tc>
          <w:tcPr>
            <w:tcW w:type="dxa" w:w="2304"/>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183B60"/>
          </w:tcPr>
          <w:p>
            <w:pPr>
              <w:spacing w:after="40" w:before="40" w:line="252" w:lineRule="auto"/>
            </w:pPr>
            <w:r>
              <w:rPr>
                <w:b/>
                <w:color w:val="FFFFFF"/>
                <w:sz w:val="20"/>
              </w:rPr>
              <w:t>Check</w:t>
            </w:r>
          </w:p>
        </w:tc>
        <w:tc>
          <w:tcPr>
            <w:tcW w:type="dxa" w:w="7920"/>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183B60"/>
          </w:tcPr>
          <w:p>
            <w:pPr>
              <w:spacing w:after="40" w:before="40" w:line="252" w:lineRule="auto"/>
            </w:pPr>
            <w:r>
              <w:rPr>
                <w:b/>
                <w:color w:val="FFFFFF"/>
                <w:sz w:val="20"/>
              </w:rPr>
              <w:t>Illustrative record</w:t>
            </w:r>
          </w:p>
        </w:tc>
      </w:tr>
      <w:tr>
        <w:trPr>
          <w:cantSplit/>
        </w:trPr>
        <w:tc>
          <w:tcPr>
            <w:tcW w:type="dxa" w:w="2304"/>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2F5F9"/>
          </w:tcPr>
          <w:p>
            <w:pPr>
              <w:spacing w:after="40" w:before="40" w:line="252" w:lineRule="auto"/>
            </w:pPr>
            <w:r>
              <w:rPr>
                <w:sz w:val="20"/>
              </w:rPr>
              <w:t>Source agreements</w:t>
            </w:r>
          </w:p>
        </w:tc>
        <w:tc>
          <w:tcPr>
            <w:tcW w:type="dxa" w:w="7920"/>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2F5F9"/>
          </w:tcPr>
          <w:p>
            <w:pPr>
              <w:spacing w:after="40" w:before="40" w:line="252" w:lineRule="auto"/>
            </w:pPr>
            <w:r>
              <w:rPr>
                <w:sz w:val="20"/>
              </w:rPr>
              <w:t>Selected customer-side agreements the firm regards as its gold standard. Check the fees and renewal clauses in the actual source documents.</w:t>
            </w:r>
          </w:p>
        </w:tc>
      </w:tr>
      <w:tr>
        <w:trPr>
          <w:cantSplit/>
        </w:trPr>
        <w:tc>
          <w:tcPr>
            <w:tcW w:type="dxa" w:w="2304"/>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FFFFF"/>
          </w:tcPr>
          <w:p>
            <w:pPr>
              <w:spacing w:after="40" w:before="40" w:line="252" w:lineRule="auto"/>
            </w:pPr>
            <w:r>
              <w:rPr>
                <w:sz w:val="20"/>
              </w:rPr>
              <w:t>Clause or topic</w:t>
            </w:r>
          </w:p>
        </w:tc>
        <w:tc>
          <w:tcPr>
            <w:tcW w:type="dxa" w:w="7920"/>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FFFFF"/>
          </w:tcPr>
          <w:p>
            <w:pPr>
              <w:spacing w:after="40" w:before="40" w:line="252" w:lineRule="auto"/>
            </w:pPr>
            <w:r>
              <w:rPr>
                <w:sz w:val="20"/>
              </w:rPr>
              <w:t>Renewal fees and price increases.</w:t>
            </w:r>
          </w:p>
        </w:tc>
      </w:tr>
      <w:tr>
        <w:trPr>
          <w:cantSplit/>
        </w:trPr>
        <w:tc>
          <w:tcPr>
            <w:tcW w:type="dxa" w:w="2304"/>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2F5F9"/>
          </w:tcPr>
          <w:p>
            <w:pPr>
              <w:spacing w:after="40" w:before="40" w:line="252" w:lineRule="auto"/>
            </w:pPr>
            <w:r>
              <w:rPr>
                <w:sz w:val="20"/>
              </w:rPr>
              <w:t>Stance being checked</w:t>
            </w:r>
          </w:p>
        </w:tc>
        <w:tc>
          <w:tcPr>
            <w:tcW w:type="dxa" w:w="7920"/>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2F5F9"/>
          </w:tcPr>
          <w:p>
            <w:pPr>
              <w:spacing w:after="40" w:before="40" w:line="252" w:lineRule="auto"/>
            </w:pPr>
            <w:r>
              <w:rPr>
                <w:sz w:val="20"/>
              </w:rPr>
              <w:t>Price increases only at renewal, subject to an agreed objective cap and written advance notice.</w:t>
            </w:r>
          </w:p>
        </w:tc>
      </w:tr>
      <w:tr>
        <w:trPr>
          <w:cantSplit/>
        </w:trPr>
        <w:tc>
          <w:tcPr>
            <w:tcW w:type="dxa" w:w="2304"/>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FFFFF"/>
          </w:tcPr>
          <w:p>
            <w:pPr>
              <w:spacing w:after="40" w:before="40" w:line="252" w:lineRule="auto"/>
            </w:pPr>
            <w:r>
              <w:rPr>
                <w:sz w:val="20"/>
              </w:rPr>
              <w:t>Matches the intended standard</w:t>
            </w:r>
          </w:p>
        </w:tc>
        <w:tc>
          <w:tcPr>
            <w:tcW w:type="dxa" w:w="7920"/>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FFFFF"/>
          </w:tcPr>
          <w:p>
            <w:pPr>
              <w:spacing w:after="40" w:before="40" w:line="252" w:lineRule="auto"/>
            </w:pPr>
            <w:r>
              <w:rPr>
                <w:sz w:val="20"/>
              </w:rPr>
              <w:t>Confirm that the extracted stance protects against discretionary increases, as intended. A broad reference to reasonable increases would need further checking.</w:t>
            </w:r>
          </w:p>
        </w:tc>
      </w:tr>
      <w:tr>
        <w:trPr>
          <w:cantSplit/>
        </w:trPr>
        <w:tc>
          <w:tcPr>
            <w:tcW w:type="dxa" w:w="2304"/>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2F5F9"/>
          </w:tcPr>
          <w:p>
            <w:pPr>
              <w:spacing w:after="40" w:before="40" w:line="252" w:lineRule="auto"/>
            </w:pPr>
            <w:r>
              <w:rPr>
                <w:sz w:val="20"/>
              </w:rPr>
              <w:t>Client context and exceptions</w:t>
            </w:r>
          </w:p>
        </w:tc>
        <w:tc>
          <w:tcPr>
            <w:tcW w:type="dxa" w:w="7920"/>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2F5F9"/>
          </w:tcPr>
          <w:p>
            <w:pPr>
              <w:spacing w:after="40" w:before="40" w:line="252" w:lineRule="auto"/>
            </w:pPr>
            <w:r>
              <w:rPr>
                <w:sz w:val="20"/>
              </w:rPr>
              <w:t>A discretionary increase may have been accepted on one transaction. Confirm whether it was a one-off concession before treating it as the preferred approach.</w:t>
            </w:r>
          </w:p>
        </w:tc>
      </w:tr>
      <w:tr>
        <w:trPr>
          <w:cantSplit/>
        </w:trPr>
        <w:tc>
          <w:tcPr>
            <w:tcW w:type="dxa" w:w="2304"/>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FFFFF"/>
          </w:tcPr>
          <w:p>
            <w:pPr>
              <w:spacing w:after="40" w:before="40" w:line="252" w:lineRule="auto"/>
            </w:pPr>
            <w:r>
              <w:rPr>
                <w:sz w:val="20"/>
              </w:rPr>
              <w:t>Completeness</w:t>
            </w:r>
          </w:p>
        </w:tc>
        <w:tc>
          <w:tcPr>
            <w:tcW w:type="dxa" w:w="7920"/>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FFFFF"/>
          </w:tcPr>
          <w:p>
            <w:pPr>
              <w:spacing w:after="40" w:before="40" w:line="252" w:lineRule="auto"/>
            </w:pPr>
            <w:r>
              <w:rPr>
                <w:sz w:val="20"/>
              </w:rPr>
              <w:t>An express price-adjustment mechanism is expected if renewal increases are permitted. Check the cap, timing and notice requirements against the client instructions.</w:t>
            </w:r>
          </w:p>
        </w:tc>
      </w:tr>
      <w:tr>
        <w:trPr>
          <w:cantSplit/>
        </w:trPr>
        <w:tc>
          <w:tcPr>
            <w:tcW w:type="dxa" w:w="2304"/>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2F5F9"/>
          </w:tcPr>
          <w:p>
            <w:pPr>
              <w:spacing w:after="40" w:before="40" w:line="252" w:lineRule="auto"/>
            </w:pPr>
            <w:r>
              <w:rPr>
                <w:sz w:val="20"/>
              </w:rPr>
              <w:t>Confirmation and follow-up</w:t>
            </w:r>
          </w:p>
        </w:tc>
        <w:tc>
          <w:tcPr>
            <w:tcW w:type="dxa" w:w="7920"/>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2F5F9"/>
          </w:tcPr>
          <w:p>
            <w:pPr>
              <w:spacing w:after="40" w:before="40" w:line="252" w:lineRule="auto"/>
            </w:pPr>
            <w:r>
              <w:rPr>
                <w:sz w:val="20"/>
              </w:rPr>
              <w:t>The responsible lawyer confirms the stance and records any outstanding client decision on the actual cap, calculation or notice period.</w:t>
            </w:r>
          </w:p>
        </w:tc>
      </w:tr>
      <w:tr>
        <w:trPr>
          <w:cantSplit/>
        </w:trPr>
        <w:tc>
          <w:tcPr>
            <w:tcW w:type="dxa" w:w="2304"/>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FFFFF"/>
          </w:tcPr>
          <w:p>
            <w:pPr>
              <w:spacing w:after="40" w:before="40" w:line="252" w:lineRule="auto"/>
            </w:pPr>
            <w:r>
              <w:rPr>
                <w:sz w:val="20"/>
              </w:rPr>
              <w:t>Check on another agreement</w:t>
            </w:r>
          </w:p>
        </w:tc>
        <w:tc>
          <w:tcPr>
            <w:tcW w:type="dxa" w:w="7920"/>
            <w:vAlign w:val="center"/>
            <w:tcMar>
              <w:top w:w="90" w:type="dxa"/>
              <w:bottom w:w="90" w:type="dxa"/>
              <w:left w:w="105" w:type="dxa"/>
              <w:right w:w="105" w:type="dxa"/>
            </w:tcMar>
            <w:tcBorders>
              <w:top w:val="single" w:sz="4" w:color="D9D9D9"/>
              <w:bottom w:val="single" w:sz="4" w:color="D9D9D9"/>
              <w:left w:val="single" w:sz="4" w:color="D9D9D9"/>
              <w:right w:val="single" w:sz="4" w:color="D9D9D9"/>
            </w:tcBorders>
            <w:shd w:fill="FFFFFF"/>
          </w:tcPr>
          <w:p>
            <w:pPr>
              <w:spacing w:after="40" w:before="40" w:line="252" w:lineRule="auto"/>
            </w:pPr>
            <w:r>
              <w:rPr>
                <w:sz w:val="20"/>
              </w:rPr>
              <w:t>Check an approved capped increase, an unlimited discretionary increase and an omitted mechanism where renewal increases are permitted. Compare the findings with the intended standard.</w:t>
            </w:r>
          </w:p>
        </w:tc>
      </w:tr>
    </w:tbl>
    <w:p>
      <w:pPr>
        <w:spacing w:after="20"/>
      </w:pPr>
    </w:p>
    <w:p>
      <w:r>
        <w:t>A commercial objection to a provision does not, by itself, establish that the provision is unlawful. Confirm any legal proposition separately.</w:t>
      </w:r>
    </w:p>
    <w:sectPr w:rsidR="00FC693F" w:rsidRPr="0006063C" w:rsidSect="00034616">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9" w:lineRule="auto" w:after="140"/>
    </w:pPr>
    <w:rPr>
      <w:rFonts w:ascii="Arial" w:hAnsi="Arial"/>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60" w:after="140"/>
      <w:outlineLvl w:val="0"/>
    </w:pPr>
    <w:rPr>
      <w:rFonts w:asciiTheme="majorHAnsi" w:eastAsiaTheme="majorEastAsia" w:hAnsiTheme="majorHAnsi" w:cstheme="majorBidi" w:ascii="Arial" w:hAnsi="Arial"/>
      <w:b/>
      <w:bCs/>
      <w:color w:val="000000"/>
      <w:sz w:val="30"/>
      <w:szCs w:val="28"/>
    </w:rPr>
  </w:style>
  <w:style w:type="paragraph" w:styleId="Heading2">
    <w:name w:val="heading 2"/>
    <w:basedOn w:val="Normal"/>
    <w:next w:val="Normal"/>
    <w:link w:val="Heading2Char"/>
    <w:uiPriority w:val="9"/>
    <w:unhideWhenUsed/>
    <w:qFormat/>
    <w:rsid w:val="00FC693F"/>
    <w:pPr>
      <w:keepNext/>
      <w:keepLines/>
      <w:widowControl/>
      <w:spacing w:before="260" w:after="140"/>
      <w:outlineLvl w:val="1"/>
    </w:pPr>
    <w:rPr>
      <w:rFonts w:asciiTheme="majorHAnsi" w:eastAsiaTheme="majorEastAsia" w:hAnsiTheme="majorHAnsi" w:cstheme="majorBidi" w:ascii="Arial" w:hAnsi="Arial"/>
      <w:b/>
      <w:bCs/>
      <w:color w:val="000000"/>
      <w:sz w:val="24"/>
      <w:szCs w:val="26"/>
    </w:rPr>
  </w:style>
  <w:style w:type="paragraph" w:styleId="Heading3">
    <w:name w:val="heading 3"/>
    <w:basedOn w:val="Normal"/>
    <w:next w:val="Normal"/>
    <w:link w:val="Heading3Char"/>
    <w:uiPriority w:val="9"/>
    <w:unhideWhenUsed/>
    <w:qFormat/>
    <w:rsid w:val="00FC693F"/>
    <w:pPr>
      <w:keepNext/>
      <w:keepLines/>
      <w:widowControl/>
      <w:spacing w:before="260" w:after="140"/>
      <w:outlineLvl w:val="2"/>
    </w:pPr>
    <w:rPr>
      <w:rFonts w:asciiTheme="majorHAnsi" w:eastAsiaTheme="majorEastAsia" w:hAnsiTheme="majorHAnsi" w:cstheme="majorBidi" w:ascii="Arial" w:hAnsi="Arial"/>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40" w:line="240" w:lineRule="auto" w:before="0"/>
      <w:contextualSpacing/>
    </w:pPr>
    <w:rPr>
      <w:rFonts w:asciiTheme="majorHAnsi" w:eastAsiaTheme="majorEastAsia" w:hAnsiTheme="majorHAnsi" w:cstheme="majorBidi" w:ascii="Arial" w:hAnsi="Arial"/>
      <w:b/>
      <w:color w:val="000000"/>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widowControl/>
      <w:numPr>
        <w:numId w:val="1"/>
      </w:numPr>
      <w:contextualSpacing/>
    </w:pPr>
    <w:rPr>
      <w:rFonts w:ascii="Arial" w:hAnsi="Arial"/>
      <w:color w:val="00000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widowControl/>
      <w:numPr>
        <w:numId w:val="5"/>
      </w:numPr>
      <w:contextualSpacing/>
    </w:pPr>
    <w:rPr>
      <w:rFonts w:ascii="Arial" w:hAnsi="Arial"/>
      <w:color w:val="00000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widowControl/>
      <w:spacing w:line="240" w:lineRule="auto" w:after="200"/>
    </w:pPr>
    <w:rPr>
      <w:rFonts w:ascii="Arial" w:hAnsi="Arial"/>
      <w:b w:val="0"/>
      <w:bCs/>
      <w:color w:val="495563"/>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qanooni.ai/platform/qred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Playbook Confirmation Worksheet</dc:title>
  <dc:subject>Contract playbooks for law firms</dc:subject>
  <dc:creator>Qanooni Team</dc:creator>
  <cp:keywords/>
  <dc:description>generated by python-docx</dc:description>
  <cp:lastModifiedBy>Qanooni Team</cp:lastModifiedBy>
  <cp:revision>1</cp:revision>
  <dcterms:created xsi:type="dcterms:W3CDTF">2013-12-23T23:15:00Z</dcterms:created>
  <dcterms:modified xsi:type="dcterms:W3CDTF">2013-12-23T23:15:00Z</dcterms:modified>
  <cp:category/>
</cp:coreProperties>
</file>